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6F4D4DA7" w:rsidR="003A2DDE" w:rsidRPr="00E361A5" w:rsidRDefault="00C8177B" w:rsidP="002D4F2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23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77777777"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5AC5D2DF" w:rsidR="0004642F" w:rsidRPr="005527CE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>статистики сельского хозяйства и окружающей природной среды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7F7A8F67" w:rsidR="002D4F2C" w:rsidRPr="00DD0664" w:rsidRDefault="002D4F2C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февраля 2023 г. по 27 февраля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61CE40BE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9160A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15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/>
    <w:p w14:paraId="541446AA" w14:textId="1262A541"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4973E944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6) проведение кадрового анализа и планирование деятельности с учетом организационных целей, бюджетных ограничений и потребностей в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C6FE8B" w14:textId="5E237C41" w:rsidR="00770B61" w:rsidRPr="005A6666" w:rsidRDefault="00AC20B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статистики 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>сельского хозяйства и окружающей природной среды</w:t>
            </w:r>
          </w:p>
          <w:p w14:paraId="65200677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78D7B36F" w14:textId="7828E683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Основные права и обязанности ведущего специалист-эксперт, а также ограничения, запреты и требования к служебному поведению, установлены статьями 14 - 18 Федерального закона от 27 июля 2004 г. № 79-ФЗ "О государственной гражданской службе Российской Федерации". 8. В целях реализации задач и функций, возложенных на отдел статистики сельского хозяйства и окружающей природной среды, ведущий специалист</w:t>
            </w:r>
            <w:r>
              <w:rPr>
                <w:rFonts w:ascii="Times New Roman" w:hAnsi="Times New Roman"/>
              </w:rPr>
              <w:t xml:space="preserve"> </w:t>
            </w:r>
            <w:r w:rsidRPr="00AC20BC">
              <w:rPr>
                <w:rFonts w:ascii="Times New Roman" w:hAnsi="Times New Roman"/>
              </w:rPr>
              <w:t>эксперт обязан:</w:t>
            </w:r>
          </w:p>
          <w:p w14:paraId="060BA69C" w14:textId="09472FCE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1) Должностные обязанности ведущего специалиста-эксперта отдела: </w:t>
            </w:r>
          </w:p>
          <w:p w14:paraId="080356C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3.3.1. В соответствии с Положением об Отделе, поручениями начальника отдела, заместителя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координирующего и контролирующего деятельность Отдела, ведущий специалист-эксперт отдела: </w:t>
            </w:r>
          </w:p>
          <w:p w14:paraId="0324312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1E7DCB55" w14:textId="60DDA600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 подготовке проектов ответов на них; </w:t>
            </w:r>
          </w:p>
          <w:p w14:paraId="5AEE378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рассматривает поступившие в Отдел обращения, проекты актов и другие документы, а также готовит проекты заключений на них; </w:t>
            </w:r>
          </w:p>
          <w:p w14:paraId="7FD4F0A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взаимодействует со специалистами других отделов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по вопросам, входящим в компетенцию Отдела; </w:t>
            </w:r>
          </w:p>
          <w:p w14:paraId="272078B4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участвует в проведении проверок деятельности отделов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; </w:t>
            </w:r>
          </w:p>
          <w:p w14:paraId="23C362FD" w14:textId="71660308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Росстатом государственной функции «предоставление официальной статистической информации».</w:t>
            </w:r>
          </w:p>
          <w:p w14:paraId="19B95655" w14:textId="1DDF0B2B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3.3.2.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Краснодарстате</w:t>
            </w:r>
            <w:proofErr w:type="spellEnd"/>
            <w:r w:rsidRPr="00AC20BC">
              <w:rPr>
                <w:rFonts w:ascii="Times New Roman" w:hAnsi="Times New Roman"/>
              </w:rPr>
              <w:t>, Положением об Отделе, ведущий специалист-эксперт отдела исполняет следующие должностные обязанности:</w:t>
            </w:r>
          </w:p>
          <w:p w14:paraId="7631CD3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оперативно информирует руководство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обо всех нарушениях плана сбора и </w:t>
            </w:r>
            <w:r w:rsidRPr="00AC20BC">
              <w:rPr>
                <w:rFonts w:ascii="Times New Roman" w:hAnsi="Times New Roman"/>
              </w:rPr>
              <w:lastRenderedPageBreak/>
              <w:t xml:space="preserve">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6F9AF57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2) обеспечивает соблюдение методологии сбора и технологии обработки статистической информации в части работ, закрепленных за Отделом; </w:t>
            </w:r>
          </w:p>
          <w:p w14:paraId="26C70C6E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обеспечивает деятельность Отдела в соответствии со </w:t>
            </w:r>
            <w:proofErr w:type="spellStart"/>
            <w:r w:rsidRPr="00AC20BC">
              <w:rPr>
                <w:rFonts w:ascii="Times New Roman" w:hAnsi="Times New Roman"/>
              </w:rPr>
              <w:t>сферойдеятельности</w:t>
            </w:r>
            <w:proofErr w:type="spellEnd"/>
            <w:r w:rsidRPr="00AC20BC">
              <w:rPr>
                <w:rFonts w:ascii="Times New Roman" w:hAnsi="Times New Roman"/>
              </w:rPr>
              <w:t xml:space="preserve">, функциями и задачами, определяемыми Положением об Отделе; </w:t>
            </w:r>
          </w:p>
          <w:p w14:paraId="3D348EB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 </w:t>
            </w:r>
          </w:p>
          <w:p w14:paraId="245493A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 </w:t>
            </w:r>
          </w:p>
          <w:p w14:paraId="5BB1EB0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6)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 </w:t>
            </w:r>
          </w:p>
          <w:p w14:paraId="53913DB5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7) представляет в установленном Росстатом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Краснодарстатом</w:t>
            </w:r>
            <w:proofErr w:type="spellEnd"/>
            <w:r w:rsidRPr="00AC20BC">
              <w:rPr>
                <w:rFonts w:ascii="Times New Roman" w:hAnsi="Times New Roman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05F9396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8) отвечает за подготовку, сбор, разработку и выпуск информации по формам № 1–СХ (баланс) - срочная, № 9-СХ, № 1-ЛХ, № 12-ЛХ;  </w:t>
            </w:r>
          </w:p>
          <w:p w14:paraId="451ACB9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9) отвечает за актуализацию </w:t>
            </w:r>
            <w:proofErr w:type="spellStart"/>
            <w:r w:rsidRPr="00AC20BC">
              <w:rPr>
                <w:rFonts w:ascii="Times New Roman" w:hAnsi="Times New Roman"/>
              </w:rPr>
              <w:t>пообъектных</w:t>
            </w:r>
            <w:proofErr w:type="spellEnd"/>
            <w:r w:rsidRPr="00AC20BC">
              <w:rPr>
                <w:rFonts w:ascii="Times New Roman" w:hAnsi="Times New Roman"/>
              </w:rPr>
              <w:t xml:space="preserve"> данных генеральной совокупности сельскохозяйственных товаропроизводителей по крестьянским (фермерским) хозяйствам и индивидуальным предпринимателям;</w:t>
            </w:r>
          </w:p>
          <w:p w14:paraId="3000ACFB" w14:textId="594F5E4F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10) участвует в разработке форм № П-1(СХ), 4-СХ, 29-СХ и №2;</w:t>
            </w:r>
          </w:p>
          <w:p w14:paraId="24F8E63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11) отвечает за выпуск годового бюллетеня «О внесении минеральных и органических удобрений»; </w:t>
            </w:r>
          </w:p>
          <w:p w14:paraId="7BA474F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12)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F280F4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13) осуществляет работу по переводу респондентов на предоставление статистической отчетности в электронном виде в части работ, закрепленных за Отделом; </w:t>
            </w:r>
          </w:p>
          <w:p w14:paraId="6EDF183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14) контролирует степень охвата исследуемой совокупности объектов наблюдения по закрепленным формам и актуальность ее данных; </w:t>
            </w:r>
          </w:p>
          <w:p w14:paraId="7FB0045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15) ведет мониторинг сбора отчетности; </w:t>
            </w:r>
          </w:p>
          <w:p w14:paraId="1EA25C4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16) 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 </w:t>
            </w:r>
          </w:p>
          <w:p w14:paraId="55BB33A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17) контролирует по закрепленным работам корректность используемой методики распространения выборочных данных </w:t>
            </w:r>
            <w:proofErr w:type="spellStart"/>
            <w:r w:rsidRPr="00AC20BC">
              <w:rPr>
                <w:rFonts w:ascii="Times New Roman" w:hAnsi="Times New Roman"/>
              </w:rPr>
              <w:t>нагенеральную</w:t>
            </w:r>
            <w:proofErr w:type="spellEnd"/>
            <w:r w:rsidRPr="00AC20BC">
              <w:rPr>
                <w:rFonts w:ascii="Times New Roman" w:hAnsi="Times New Roman"/>
              </w:rPr>
              <w:t xml:space="preserve"> совокупность и разрезы разработки; </w:t>
            </w:r>
          </w:p>
          <w:p w14:paraId="09B9BDC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18) формирует и контролирует сводные итоги по закрепленным формам 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</w:t>
            </w:r>
            <w:r w:rsidRPr="00AC20BC">
              <w:rPr>
                <w:rFonts w:ascii="Times New Roman" w:hAnsi="Times New Roman"/>
              </w:rPr>
              <w:lastRenderedPageBreak/>
              <w:t xml:space="preserve">сбалансированности данных, в том числе в разрезе городов и районов Краснодарского края, видов деятельности и других разрезов разработки; </w:t>
            </w:r>
          </w:p>
          <w:p w14:paraId="35B1430C" w14:textId="7B936864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19) контролирует по закрепленным формам относительные показатели, в том числе в разрезе городов и районов Краснодарского края, видов деятельности и других разрезов разработки;</w:t>
            </w:r>
          </w:p>
          <w:p w14:paraId="6C65E418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2) 20) контролирует соответствие сводных итогов по отдельным формам требованиям Системы национальных счетов; </w:t>
            </w:r>
          </w:p>
          <w:p w14:paraId="1BEC6A87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21) предоставляет начальнику отдела для проверки сводные итоги по годовым формам - за семь рабочих дней, по квартальным – за 3 рабочих дня, по ежемесячным - за один рабочий день до отправки на ГМЦ Росстата сводных итогов в соответствии с план-графиком; </w:t>
            </w:r>
          </w:p>
          <w:p w14:paraId="57BF6F9E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22)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629F18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23) осуществляет работу по переводу респондентов на предоставление статистической отчетности в электронном виде в части работ, закрепленных за Отделом; </w:t>
            </w:r>
          </w:p>
          <w:p w14:paraId="72241F9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24)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 </w:t>
            </w:r>
          </w:p>
          <w:p w14:paraId="6EDD93C3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25) совместно с начальником отдела контролирует осуществление наставничества над сотрудником Отдела в период его испытательного срока; </w:t>
            </w:r>
          </w:p>
          <w:p w14:paraId="457A95D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26) срочно информирует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или его заместителей,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0AD3A95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27)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 </w:t>
            </w:r>
          </w:p>
          <w:p w14:paraId="7513F34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28) осуществляет в соответствии с законодательством Российской Федерации работу по комплектованию архивных документов, </w:t>
            </w:r>
            <w:proofErr w:type="spellStart"/>
            <w:r w:rsidRPr="00AC20BC">
              <w:rPr>
                <w:rFonts w:ascii="Times New Roman" w:hAnsi="Times New Roman"/>
              </w:rPr>
              <w:t>образовавшихсяв</w:t>
            </w:r>
            <w:proofErr w:type="spellEnd"/>
            <w:r w:rsidRPr="00AC20BC">
              <w:rPr>
                <w:rFonts w:ascii="Times New Roman" w:hAnsi="Times New Roman"/>
              </w:rPr>
              <w:t xml:space="preserve"> процессе деятельности Отдела; </w:t>
            </w:r>
          </w:p>
          <w:p w14:paraId="1967C222" w14:textId="0C0DA031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29) в случае возникших изменений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 </w:t>
            </w:r>
          </w:p>
          <w:p w14:paraId="3C8F4AC6" w14:textId="514FAEE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30) при получении доступа к персональным данным, а также при обработке персональных данных обеспечивает конфиденциальность персональных данных; </w:t>
            </w:r>
          </w:p>
          <w:p w14:paraId="60345F2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31)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>.</w:t>
            </w:r>
          </w:p>
          <w:p w14:paraId="5433311C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3.3.3. Ведущий специалист-эксперт отдела также: </w:t>
            </w:r>
          </w:p>
          <w:p w14:paraId="4AEFE61F" w14:textId="06371BB6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1) реализует принципы гражданской службы, установленные Федеральным законом от 27.07.2004 № 79-ФЗ «О государственной гражданской службе в Российской Федерации»;</w:t>
            </w:r>
          </w:p>
          <w:p w14:paraId="705C2321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lastRenderedPageBreak/>
              <w:t xml:space="preserve"> 2) соблюдает Служебный распорядок Росстата, Правила внутреннего трудового распорядка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Кодекс этики и служебного поведения федеральных государственных гражданских служащих Росстата и его территориальных органов; </w:t>
            </w:r>
          </w:p>
          <w:p w14:paraId="19BC8A19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      </w:r>
          </w:p>
          <w:p w14:paraId="0246D6BB" w14:textId="64EABA86" w:rsid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4) способствует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участвует в их правовом </w:t>
            </w:r>
            <w:r w:rsidR="005A6666" w:rsidRPr="00AC20BC">
              <w:rPr>
                <w:rFonts w:ascii="Times New Roman" w:hAnsi="Times New Roman"/>
              </w:rPr>
              <w:t>просвещении;</w:t>
            </w:r>
            <w:r w:rsidRPr="00AC20BC">
              <w:rPr>
                <w:rFonts w:ascii="Times New Roman" w:hAnsi="Times New Roman"/>
              </w:rPr>
              <w:t xml:space="preserve"> </w:t>
            </w:r>
          </w:p>
          <w:p w14:paraId="4047E8B9" w14:textId="1FA118F3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5)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 </w:t>
            </w:r>
          </w:p>
          <w:p w14:paraId="21B7CD9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6) исполняет решения и поручения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его заместителей и начальника отдела по вопросам, относящимся к сфере деятельности Отдела; </w:t>
            </w:r>
          </w:p>
          <w:p w14:paraId="2355C450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>7) 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2C58F0FA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8) строго исполняет требования, предусмотренные Регламентом </w:t>
            </w:r>
            <w:proofErr w:type="spellStart"/>
            <w:r w:rsidRPr="00AC20BC">
              <w:rPr>
                <w:rFonts w:ascii="Times New Roman" w:hAnsi="Times New Roman"/>
              </w:rPr>
              <w:t>работыс</w:t>
            </w:r>
            <w:proofErr w:type="spellEnd"/>
            <w:r w:rsidRPr="00AC20BC">
              <w:rPr>
                <w:rFonts w:ascii="Times New Roman" w:hAnsi="Times New Roman"/>
              </w:rPr>
              <w:t xml:space="preserve">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6B217E56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 9) представляет сведения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 </w:t>
            </w:r>
          </w:p>
          <w:p w14:paraId="7EF88912" w14:textId="77777777" w:rsidR="00AC20BC" w:rsidRPr="00AC20BC" w:rsidRDefault="00AC20BC" w:rsidP="005A666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AC20BC">
              <w:rPr>
                <w:rFonts w:ascii="Times New Roman" w:hAnsi="Times New Roman"/>
              </w:rPr>
              <w:t xml:space="preserve">3.4.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, поручениями заместителей руководителя </w:t>
            </w:r>
            <w:proofErr w:type="spellStart"/>
            <w:r w:rsidRPr="00AC20BC">
              <w:rPr>
                <w:rFonts w:ascii="Times New Roman" w:hAnsi="Times New Roman"/>
              </w:rPr>
              <w:t>Краснодарстата</w:t>
            </w:r>
            <w:proofErr w:type="spellEnd"/>
            <w:r w:rsidRPr="00AC20BC">
              <w:rPr>
                <w:rFonts w:ascii="Times New Roman" w:hAnsi="Times New Roman"/>
              </w:rPr>
              <w:t xml:space="preserve"> и начальника отдела.</w:t>
            </w:r>
          </w:p>
          <w:p w14:paraId="4E9EA4FD" w14:textId="77777777" w:rsidR="00770B61" w:rsidRPr="00AC20BC" w:rsidRDefault="00770B61" w:rsidP="008F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18C84" w14:textId="77777777" w:rsidR="00847917" w:rsidRDefault="00847917" w:rsidP="00201071">
      <w:pPr>
        <w:spacing w:after="0" w:line="240" w:lineRule="auto"/>
      </w:pPr>
      <w:r>
        <w:separator/>
      </w:r>
    </w:p>
  </w:endnote>
  <w:endnote w:type="continuationSeparator" w:id="0">
    <w:p w14:paraId="6EF85BA4" w14:textId="77777777" w:rsidR="00847917" w:rsidRDefault="0084791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C2F4" w14:textId="77777777" w:rsidR="00847917" w:rsidRDefault="00847917" w:rsidP="00201071">
      <w:pPr>
        <w:spacing w:after="0" w:line="240" w:lineRule="auto"/>
      </w:pPr>
      <w:r>
        <w:separator/>
      </w:r>
    </w:p>
  </w:footnote>
  <w:footnote w:type="continuationSeparator" w:id="0">
    <w:p w14:paraId="6F4F92CD" w14:textId="77777777" w:rsidR="00847917" w:rsidRDefault="00847917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D042B"/>
    <w:rsid w:val="002D4F2C"/>
    <w:rsid w:val="002F1D2A"/>
    <w:rsid w:val="00331F79"/>
    <w:rsid w:val="00333594"/>
    <w:rsid w:val="00342AAB"/>
    <w:rsid w:val="00351FCB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36985"/>
    <w:rsid w:val="00847917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160A8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9734-AFAA-4B43-9746-0CC785C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31318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4</cp:revision>
  <cp:lastPrinted>2023-02-01T13:09:00Z</cp:lastPrinted>
  <dcterms:created xsi:type="dcterms:W3CDTF">2023-02-01T11:53:00Z</dcterms:created>
  <dcterms:modified xsi:type="dcterms:W3CDTF">2023-02-01T13:09:00Z</dcterms:modified>
</cp:coreProperties>
</file>